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60" w:lineRule="auto"/>
        <w:jc w:val="right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Documento de especificación de UI (interfaz de usuario)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Proyecto Rector simulator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Versión 1.0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right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235"/>
        <w:gridCol w:w="2385"/>
        <w:gridCol w:w="2085"/>
        <w:tblGridChange w:id="0">
          <w:tblGrid>
            <w:gridCol w:w="2235"/>
            <w:gridCol w:w="2235"/>
            <w:gridCol w:w="2385"/>
            <w:gridCol w:w="20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Ridoutt Quiñones Jhon Franco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Introducción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Desarrollo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Conclusiones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18/09/2024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Ridoutt Quiñones Jhon Franco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   Desarrollo</w:t>
              <w:br w:type="textWrapping"/>
              <w:t xml:space="preserve">(aumento de paginas)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10/11/2024</w:t>
            </w:r>
          </w:p>
        </w:tc>
      </w:tr>
    </w:tbl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Desarrollo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Objetivos y Requisitos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Arquitectura de información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Flujos de navegación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Diseño de interfaz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Paleta de colores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 Tipografía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 Iconografía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 Guía de estilos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Conclusión y próximos pasos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Conclusiones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Próximos pasos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1. Introducción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Documento de Especificación de Interfaz de Usuario</w:t>
      </w:r>
      <w:r w:rsidDel="00000000" w:rsidR="00000000" w:rsidRPr="00000000">
        <w:rPr>
          <w:rtl w:val="0"/>
        </w:rPr>
        <w:t xml:space="preserve"> para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 es una guía detallada que describe la apariencia visual y la interacción de nuestro sistema de simulación de gestión universitaria. Este documento proporciona a los diseñadores, desarrolladores y otros miembros del equipo una referencia exhaustiva sobre la estructura, diseño y comportamiento de la interfaz de usuario.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interfaz gráfica de usuario (GUI) es el rostro visible de nuestro juego y juega un papel clave en la experiencia del usuario. Una interfaz intuitiva y atractiva no solo mejora la jugabilidad, sino que también fortalece la conexión emocional de los jugadores con el sistema, creando una experiencia inmersiva y fluida.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este documento se detallan los principios de diseño, la paleta de colores, la tipografía, los elementos de la interfaz y las pautas de interacción que conforman la experiencia visual del jugador. Además, se incluyen ejemplos visuales y directrices de implementación para asegurar la coherencia y efectividad en todas las etapas del desarrollo de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 Desarrollo</w:t>
      </w:r>
    </w:p>
    <w:p w:rsidR="00000000" w:rsidDel="00000000" w:rsidP="00000000" w:rsidRDefault="00000000" w:rsidRPr="00000000" w14:paraId="0000004D">
      <w:pPr>
        <w:pStyle w:val="Heading3"/>
        <w:spacing w:after="240" w:before="240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2.1. Objetivos y Requisitos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 del Documento</w:t>
      </w:r>
    </w:p>
    <w:p w:rsidR="00000000" w:rsidDel="00000000" w:rsidP="00000000" w:rsidRDefault="00000000" w:rsidRPr="00000000" w14:paraId="0000004F">
      <w:pPr>
        <w:numPr>
          <w:ilvl w:val="0"/>
          <w:numId w:val="18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Establecer una Identidad Visual Coherente:</w:t>
      </w:r>
      <w:r w:rsidDel="00000000" w:rsidR="00000000" w:rsidRPr="00000000">
        <w:rPr>
          <w:rtl w:val="0"/>
        </w:rPr>
        <w:t xml:space="preserve"> Garantizar que la interfaz gráfica refleje la temática y el estilo visual de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, manteniendo una apariencia visual coherente que transmita el entorno académico y de toma de decisiones dentro de la simulación.</w:t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Mejorar la Experiencia del Jugador:</w:t>
      </w:r>
      <w:r w:rsidDel="00000000" w:rsidR="00000000" w:rsidRPr="00000000">
        <w:rPr>
          <w:rtl w:val="0"/>
        </w:rPr>
        <w:t xml:space="preserve"> Diseñar una interfaz intuitiva y fácil de usar que mejore la experiencia del jugador al gestionar recursos, tomar decisiones y navegar por los eventos del juego, facilitando la comprensión y fluidez en el proceso de simulación.</w:t>
      </w:r>
    </w:p>
    <w:p w:rsidR="00000000" w:rsidDel="00000000" w:rsidP="00000000" w:rsidRDefault="00000000" w:rsidRPr="00000000" w14:paraId="00000051">
      <w:pPr>
        <w:numPr>
          <w:ilvl w:val="0"/>
          <w:numId w:val="18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Cumplir con los Estándares de Diseño:</w:t>
      </w:r>
      <w:r w:rsidDel="00000000" w:rsidR="00000000" w:rsidRPr="00000000">
        <w:rPr>
          <w:rtl w:val="0"/>
        </w:rPr>
        <w:t xml:space="preserve"> Asegurar que el diseño de la interfaz cumpla con los estándares de diseño actuales para aplicaciones de juegos y las mejores prácticas en usabilidad, garantizando una experiencia envolvente y atractiva.</w:t>
      </w:r>
    </w:p>
    <w:p w:rsidR="00000000" w:rsidDel="00000000" w:rsidP="00000000" w:rsidRDefault="00000000" w:rsidRPr="00000000" w14:paraId="00000052">
      <w:pPr>
        <w:numPr>
          <w:ilvl w:val="0"/>
          <w:numId w:val="18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Facilitar la Implementación:</w:t>
      </w:r>
      <w:r w:rsidDel="00000000" w:rsidR="00000000" w:rsidRPr="00000000">
        <w:rPr>
          <w:rtl w:val="0"/>
        </w:rPr>
        <w:t xml:space="preserve"> Proporcionar pautas claras y específicas para la implementación de la interfaz gráfica, asegurando que el equipo de desarrollo pueda ejecutar el diseño de manera efectiva y coherente en todas las áreas del juego.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Requisitos del Documento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Claridad y Coherencia:</w:t>
      </w:r>
      <w:r w:rsidDel="00000000" w:rsidR="00000000" w:rsidRPr="00000000">
        <w:rPr>
          <w:rtl w:val="0"/>
        </w:rPr>
        <w:t xml:space="preserve"> El documento debe ser claro y conciso, proporcionando información detallada sobre los principios de diseño y las pautas de interfaz, de manera que sea fácil de seguir tanto para diseñadores como desarrolladores.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Flexibilidad y Adaptabilidad:</w:t>
      </w:r>
      <w:r w:rsidDel="00000000" w:rsidR="00000000" w:rsidRPr="00000000">
        <w:rPr>
          <w:rtl w:val="0"/>
        </w:rPr>
        <w:t xml:space="preserve"> Debe ser lo suficientemente flexible para adaptarse a futuros cambios en la estructura del juego, nuevos eventos o funcionalidades que puedan añadirse a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Actualización y Mantenimiento:</w:t>
      </w:r>
      <w:r w:rsidDel="00000000" w:rsidR="00000000" w:rsidRPr="00000000">
        <w:rPr>
          <w:rtl w:val="0"/>
        </w:rPr>
        <w:t xml:space="preserve"> Establecer un proceso para mantener el documento actualizado con los cambios en el diseño de la interfaz, asegurando que el desarrollo siga un estándar unificado a lo largo de la evolución del juego.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Accesibilidad:</w:t>
      </w:r>
      <w:r w:rsidDel="00000000" w:rsidR="00000000" w:rsidRPr="00000000">
        <w:rPr>
          <w:rtl w:val="0"/>
        </w:rPr>
        <w:t xml:space="preserve"> Considerar los principios de accesibilidad en el diseño de la interfaz gráfica, asegurando que el juego sea inclusivo y jugable por una amplia gama de usuarios, incluidos aquellos con discapacidades visuales, auditivas o motoras.</w:t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2.2. Arquitectura de información</w:t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Usuario: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b w:val="1"/>
          <w:rtl w:val="0"/>
        </w:rPr>
        <w:t xml:space="preserve">Visualización de recursos, evento y puntaje: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C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El usuario puede ver su cantidad actual de recursos tanto de aprobación de alumnos como de presupuestos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Así mismo puede visualizar el evento actual para su subsiguiente acción de elección al igual que su cantidad de tiempo en el mando de rector (puntaje).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Selección de opciones y predicción de evento: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El usuario podrá seleccionar arrastrando las tarjetas de los personajes de derecha a izquierda mostrando la elección escrita que están seleccionando y como pueden llegar a afectar positiva o negativamente los distintos recursos restantes mediantes los puntos encima de los iconos de recursos.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Apartado de personajes conocidos:</w:t>
      </w:r>
    </w:p>
    <w:p w:rsidR="00000000" w:rsidDel="00000000" w:rsidP="00000000" w:rsidRDefault="00000000" w:rsidRPr="00000000" w14:paraId="00000065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Tras cada partida según avances y te mantengas al mando te saldrán distintos eventos con distintos personajes que los representan los cuales al toparlos en partida se desbloquearan en el apartado Personajes como descubiertos.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b w:val="1"/>
          <w:rtl w:val="0"/>
        </w:rPr>
        <w:t xml:space="preserve">Apartado de iniciar partida: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Las partidas se guardan tras cada decisión del usuario para cuando vuelva a jugar pueda retomar desde donde se quedó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b w:val="1"/>
          <w:rtl w:val="0"/>
        </w:rPr>
        <w:t xml:space="preserve">Ventana Home: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Ventana principal del juego sin haber iniciado sesión del mismo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Ventana principal del juego tras haber iniciado sesión del mismo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Login:</w:t>
      </w:r>
    </w:p>
    <w:p w:rsidR="00000000" w:rsidDel="00000000" w:rsidP="00000000" w:rsidRDefault="00000000" w:rsidRPr="00000000" w14:paraId="0000007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Ventana para ingresar el usuario creado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Registro: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Ventana para registrarse y poder guardar las partidas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Apartado de mejores records: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Tras cada final de partida se guarda el record (duración) de cada una en la tabla descendente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Flujos de navegación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Usuario: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7531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2.3. Diseño de interfaz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Mockups de pantallas claves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diseño de los mockups respeta el siguiente patrón: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594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Este es un esquema de resolución de 1440x900 px responsive, elaborado en base a 12 columnas de 100 píxeles c/u, con un margen de 20 píxeles entre cada una de ellas. Esto se logra mediante la siguiente configuración: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43150" cy="23622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Así mismo, la gran mayoría de diseños dentro del mockup (véase tablas, tarjetas, entre otros) también respeta el mismo esquema.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Las tarjetas usualmente respetarán un ancho de entre 2.5-4 columnas (por lo general 460px)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Los campos contenedores verticales seguirán dimensiones de 4.5-5.5 columnas (por lo general 600px)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2.4. Paleta de colores</w:t>
      </w:r>
    </w:p>
    <w:p w:rsidR="00000000" w:rsidDel="00000000" w:rsidP="00000000" w:rsidRDefault="00000000" w:rsidRPr="00000000" w14:paraId="0000009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paleta de colores de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 es esencial para construir una identidad visual coherente, clara y atractiva que conecte con el entorno universitario. Los colores seleccionados no solo reflejan los valores del simulador, como la gestión estratégica y la toma de decisiones, sino que también ayudan a destacar elementos clave en la interfaz, asegurando una experiencia visual fluida para los usuarios.</w:t>
      </w:r>
    </w:p>
    <w:p w:rsidR="00000000" w:rsidDel="00000000" w:rsidP="00000000" w:rsidRDefault="00000000" w:rsidRPr="00000000" w14:paraId="00000092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Colores Principales</w:t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Rojo Principal</w:t>
      </w:r>
      <w:r w:rsidDel="00000000" w:rsidR="00000000" w:rsidRPr="00000000">
        <w:rPr>
          <w:rtl w:val="0"/>
        </w:rPr>
        <w:t xml:space="preserve">: #C26464</w:t>
        <w:br w:type="textWrapping"/>
        <w:t xml:space="preserve">Este rojo cálido se utiliza para representar eventos importantes y mensajes críticos que necesitan la atención inmediata del jugador, como demandas estudiantiles y decisiones financieras clave.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Beige Suave</w:t>
      </w:r>
      <w:r w:rsidDel="00000000" w:rsidR="00000000" w:rsidRPr="00000000">
        <w:rPr>
          <w:rtl w:val="0"/>
        </w:rPr>
        <w:t xml:space="preserve">: #D8EDC8</w:t>
        <w:br w:type="textWrapping"/>
        <w:t xml:space="preserve">Este color suave equilibra la interfaz, representando calma y neutralidad. Se utiliza en fondos y contornos para elementos secundarios en la interfaz del simulador.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Rojo Oscuro: </w:t>
      </w:r>
      <w:r w:rsidDel="00000000" w:rsidR="00000000" w:rsidRPr="00000000">
        <w:rPr>
          <w:rtl w:val="0"/>
        </w:rPr>
        <w:t xml:space="preserve">#231212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utiliza como fondo principal de las tarjetas de personajes bloqueados, destacando su estado aún no accesible.</w:t>
      </w:r>
    </w:p>
    <w:p w:rsidR="00000000" w:rsidDel="00000000" w:rsidP="00000000" w:rsidRDefault="00000000" w:rsidRPr="00000000" w14:paraId="00000097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Colores Complementarios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Complementario Rojo Oscuro</w:t>
      </w:r>
      <w:r w:rsidDel="00000000" w:rsidR="00000000" w:rsidRPr="00000000">
        <w:rPr>
          <w:rtl w:val="0"/>
        </w:rPr>
        <w:t xml:space="preserve">: #904949</w:t>
        <w:br w:type="textWrapping"/>
        <w:t xml:space="preserve">Un tono más oscuro de rojo que se emplea en alertas o para destacar situaciones complejas que requieren decisiones importantes. Refleja urgencia pero de manera menos invasiva.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Gris Claro</w:t>
      </w:r>
      <w:r w:rsidDel="00000000" w:rsidR="00000000" w:rsidRPr="00000000">
        <w:rPr>
          <w:rtl w:val="0"/>
        </w:rPr>
        <w:t xml:space="preserve">: #D9D9D9</w:t>
        <w:br w:type="textWrapping"/>
        <w:t xml:space="preserve">Se utiliza para el texto secundario y los elementos informativos de la interfaz, aportando legibilidad sin interferir con los colores principales.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Gris Oscuro</w:t>
      </w:r>
      <w:r w:rsidDel="00000000" w:rsidR="00000000" w:rsidRPr="00000000">
        <w:rPr>
          <w:rtl w:val="0"/>
        </w:rPr>
        <w:t xml:space="preserve">: #110909</w:t>
        <w:br w:type="textWrapping"/>
        <w:t xml:space="preserve">Este gris oscuro es utilizado para bordes, separadores y otros elementos que ayudan a estructurar visualmente la interfaz sin desviar la atención del contenido principal.</w:t>
      </w:r>
    </w:p>
    <w:p w:rsidR="00000000" w:rsidDel="00000000" w:rsidP="00000000" w:rsidRDefault="00000000" w:rsidRPr="00000000" w14:paraId="0000009B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Uso en la Interfaz de Usuario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Rojo Principal</w:t>
      </w:r>
      <w:r w:rsidDel="00000000" w:rsidR="00000000" w:rsidRPr="00000000">
        <w:rPr>
          <w:rtl w:val="0"/>
        </w:rPr>
        <w:t xml:space="preserve"> se utiliza en las alertas y demandas de los estudiantes, destacando las situaciones que requieren la atención inmediata del rector.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Beige Suave</w:t>
      </w:r>
      <w:r w:rsidDel="00000000" w:rsidR="00000000" w:rsidRPr="00000000">
        <w:rPr>
          <w:rtl w:val="0"/>
        </w:rPr>
        <w:t xml:space="preserve"> aparece en los fondos de las tarjetas de personajes y eventos, proporcionando un equilibrio visual entre los elementos más llamativos de la interfaz.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Los colores complementarios, como el </w:t>
      </w:r>
      <w:r w:rsidDel="00000000" w:rsidR="00000000" w:rsidRPr="00000000">
        <w:rPr>
          <w:b w:val="1"/>
          <w:rtl w:val="0"/>
        </w:rPr>
        <w:t xml:space="preserve">Verde Pastel</w:t>
      </w:r>
      <w:r w:rsidDel="00000000" w:rsidR="00000000" w:rsidRPr="00000000">
        <w:rPr>
          <w:rtl w:val="0"/>
        </w:rPr>
        <w:t xml:space="preserve">, se emplean para señalar los logros y las mejoras en la gestión universitaria, ofreciendo retroalimentación positiva.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Los tonos de gris se utilizan para textos secundarios, para garantizar la legibilidad sin sobrecargar la interfaz, y para delinear elementos que dividen las diferentes secciones del juego.</w:t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2.5. Tipografía</w:t>
      </w:r>
    </w:p>
    <w:p w:rsidR="00000000" w:rsidDel="00000000" w:rsidP="00000000" w:rsidRDefault="00000000" w:rsidRPr="00000000" w14:paraId="000000A1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Fuentes Tipográficas</w:t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Fuente principal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>
          <w:b w:val="1"/>
          <w:rtl w:val="0"/>
        </w:rPr>
        <w:t xml:space="preserve">Nombre</w:t>
      </w:r>
      <w:r w:rsidDel="00000000" w:rsidR="00000000" w:rsidRPr="00000000">
        <w:rPr>
          <w:rtl w:val="0"/>
        </w:rPr>
        <w:t xml:space="preserve">: Inria Sans</w:t>
        <w:br w:type="textWrapping"/>
      </w:r>
      <w:r w:rsidDel="00000000" w:rsidR="00000000" w:rsidRPr="00000000">
        <w:rPr>
          <w:b w:val="1"/>
          <w:rtl w:val="0"/>
        </w:rPr>
        <w:t xml:space="preserve">Estilo</w:t>
      </w:r>
      <w:r w:rsidDel="00000000" w:rsidR="00000000" w:rsidRPr="00000000">
        <w:rPr>
          <w:rtl w:val="0"/>
        </w:rPr>
        <w:t xml:space="preserve">: Regular</w:t>
        <w:br w:type="textWrapping"/>
      </w:r>
      <w:r w:rsidDel="00000000" w:rsidR="00000000" w:rsidRPr="00000000">
        <w:rPr>
          <w:b w:val="1"/>
          <w:rtl w:val="0"/>
        </w:rPr>
        <w:t xml:space="preserve">Tamaño</w:t>
      </w:r>
      <w:r w:rsidDel="00000000" w:rsidR="00000000" w:rsidRPr="00000000">
        <w:rPr>
          <w:rtl w:val="0"/>
        </w:rPr>
        <w:t xml:space="preserve">: 32px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Texto de Tablas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>
          <w:b w:val="1"/>
          <w:rtl w:val="0"/>
        </w:rPr>
        <w:t xml:space="preserve">Nombre</w:t>
      </w:r>
      <w:r w:rsidDel="00000000" w:rsidR="00000000" w:rsidRPr="00000000">
        <w:rPr>
          <w:rtl w:val="0"/>
        </w:rPr>
        <w:t xml:space="preserve">: Inter</w:t>
        <w:br w:type="textWrapping"/>
      </w:r>
      <w:r w:rsidDel="00000000" w:rsidR="00000000" w:rsidRPr="00000000">
        <w:rPr>
          <w:b w:val="1"/>
          <w:rtl w:val="0"/>
        </w:rPr>
        <w:t xml:space="preserve">Estilo</w:t>
      </w:r>
      <w:r w:rsidDel="00000000" w:rsidR="00000000" w:rsidRPr="00000000">
        <w:rPr>
          <w:rtl w:val="0"/>
        </w:rPr>
        <w:t xml:space="preserve">: Regular</w:t>
        <w:br w:type="textWrapping"/>
      </w:r>
      <w:r w:rsidDel="00000000" w:rsidR="00000000" w:rsidRPr="00000000">
        <w:rPr>
          <w:b w:val="1"/>
          <w:rtl w:val="0"/>
        </w:rPr>
        <w:t xml:space="preserve">Tamaño</w:t>
      </w:r>
      <w:r w:rsidDel="00000000" w:rsidR="00000000" w:rsidRPr="00000000">
        <w:rPr>
          <w:rtl w:val="0"/>
        </w:rPr>
        <w:t xml:space="preserve">: Adaptable, no mayor a 14px</w:t>
      </w:r>
    </w:p>
    <w:p w:rsidR="00000000" w:rsidDel="00000000" w:rsidP="00000000" w:rsidRDefault="00000000" w:rsidRPr="00000000" w14:paraId="000000A4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Título Principal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5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Nombre</w:t>
      </w:r>
      <w:r w:rsidDel="00000000" w:rsidR="00000000" w:rsidRPr="00000000">
        <w:rPr>
          <w:rtl w:val="0"/>
        </w:rPr>
        <w:t xml:space="preserve">: Inknut Antiqua</w:t>
      </w:r>
    </w:p>
    <w:p w:rsidR="00000000" w:rsidDel="00000000" w:rsidP="00000000" w:rsidRDefault="00000000" w:rsidRPr="00000000" w14:paraId="000000A6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Estilo</w:t>
      </w:r>
      <w:r w:rsidDel="00000000" w:rsidR="00000000" w:rsidRPr="00000000">
        <w:rPr>
          <w:rtl w:val="0"/>
        </w:rPr>
        <w:t xml:space="preserve">: Regular</w:t>
      </w:r>
    </w:p>
    <w:p w:rsidR="00000000" w:rsidDel="00000000" w:rsidP="00000000" w:rsidRDefault="00000000" w:rsidRPr="00000000" w14:paraId="000000A7">
      <w:pPr>
        <w:spacing w:after="0" w:before="0" w:line="240" w:lineRule="auto"/>
        <w:rPr/>
      </w:pPr>
      <w:r w:rsidDel="00000000" w:rsidR="00000000" w:rsidRPr="00000000">
        <w:rPr>
          <w:b w:val="1"/>
          <w:rtl w:val="0"/>
        </w:rPr>
        <w:t xml:space="preserve">Tamaño</w:t>
      </w:r>
      <w:r w:rsidDel="00000000" w:rsidR="00000000" w:rsidRPr="00000000">
        <w:rPr>
          <w:rtl w:val="0"/>
        </w:rPr>
        <w:t xml:space="preserve">: Adaptado al diseño pero no más de 64px</w:t>
      </w:r>
    </w:p>
    <w:p w:rsidR="00000000" w:rsidDel="00000000" w:rsidP="00000000" w:rsidRDefault="00000000" w:rsidRPr="00000000" w14:paraId="000000A8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Directrices de Aplicación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Título Principal</w:t>
      </w:r>
      <w:r w:rsidDel="00000000" w:rsidR="00000000" w:rsidRPr="00000000">
        <w:rPr>
          <w:rtl w:val="0"/>
        </w:rPr>
        <w:t xml:space="preserve">:</w:t>
        <w:br w:type="textWrapping"/>
        <w:t xml:space="preserve">Se utiliza </w:t>
      </w:r>
      <w:r w:rsidDel="00000000" w:rsidR="00000000" w:rsidRPr="00000000">
        <w:rPr>
          <w:b w:val="1"/>
          <w:rtl w:val="0"/>
        </w:rPr>
        <w:t xml:space="preserve">Inknut Antiqua</w:t>
      </w:r>
      <w:r w:rsidDel="00000000" w:rsidR="00000000" w:rsidRPr="00000000">
        <w:rPr>
          <w:rtl w:val="0"/>
        </w:rPr>
        <w:t xml:space="preserve"> para los encabezados principales del juego, como títulos de secciones o eventos destacados. Deben tener un tamaño lo suficientemente grande para captar la atención, pero no tan grande como para abrumar al usuario.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Fuente principal</w:t>
      </w:r>
      <w:r w:rsidDel="00000000" w:rsidR="00000000" w:rsidRPr="00000000">
        <w:rPr>
          <w:rtl w:val="0"/>
        </w:rPr>
        <w:t xml:space="preserve">:</w:t>
        <w:br w:type="textWrapping"/>
        <w:t xml:space="preserve">La fuente </w:t>
      </w:r>
      <w:r w:rsidDel="00000000" w:rsidR="00000000" w:rsidRPr="00000000">
        <w:rPr>
          <w:b w:val="1"/>
          <w:rtl w:val="0"/>
        </w:rPr>
        <w:t xml:space="preserve">Inria Sans</w:t>
      </w:r>
      <w:r w:rsidDel="00000000" w:rsidR="00000000" w:rsidRPr="00000000">
        <w:rPr>
          <w:rtl w:val="0"/>
        </w:rPr>
        <w:t xml:space="preserve"> es empleada para el contenido principal, como párrafos descriptivos, diálogos de personajes y explicaciones de eventos en el juego. El tamaño debe garantizar la legibilidad en dispositivos de diferentes tamaños, con un máximo de 16px para textos largos y 32px como el valor óptimo de lectura.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Texto de Tablas</w:t>
      </w:r>
      <w:r w:rsidDel="00000000" w:rsidR="00000000" w:rsidRPr="00000000">
        <w:rPr>
          <w:rtl w:val="0"/>
        </w:rPr>
        <w:t xml:space="preserve">:</w:t>
        <w:br w:type="textWrapping"/>
        <w:t xml:space="preserve">Las tablas utilizan </w:t>
      </w:r>
      <w:r w:rsidDel="00000000" w:rsidR="00000000" w:rsidRPr="00000000">
        <w:rPr>
          <w:b w:val="1"/>
          <w:rtl w:val="0"/>
        </w:rPr>
        <w:t xml:space="preserve">Inter</w:t>
      </w:r>
      <w:r w:rsidDel="00000000" w:rsidR="00000000" w:rsidRPr="00000000">
        <w:rPr>
          <w:rtl w:val="0"/>
        </w:rPr>
        <w:t xml:space="preserve"> para asegurar su visibilidad. Deben ser lo suficientemente grandes como para visualizar los puntajes anteriores, pero manteniendo una coherencia para no rebosar el contenido principal del juego.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Ejemplos Visuales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Títulos</w:t>
      </w:r>
      <w:r w:rsidDel="00000000" w:rsidR="00000000" w:rsidRPr="00000000">
        <w:rPr>
          <w:rtl w:val="0"/>
        </w:rPr>
        <w:t xml:space="preserve">:</w:t>
        <w:br w:type="textWrapping"/>
        <w:t xml:space="preserve">Los títulos de las secciones se presentan en </w:t>
      </w:r>
      <w:r w:rsidDel="00000000" w:rsidR="00000000" w:rsidRPr="00000000">
        <w:rPr>
          <w:b w:val="1"/>
          <w:rtl w:val="0"/>
        </w:rPr>
        <w:t xml:space="preserve">Inknut Antiqua</w:t>
      </w:r>
      <w:r w:rsidDel="00000000" w:rsidR="00000000" w:rsidRPr="00000000">
        <w:rPr>
          <w:rtl w:val="0"/>
        </w:rPr>
        <w:t xml:space="preserve"> con un tamaño de 64px, lo que asegura que las secciones de mayor relevancia, sean claramente identificables y jerárquicamente destacadas.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Fuente principal</w:t>
      </w:r>
      <w:r w:rsidDel="00000000" w:rsidR="00000000" w:rsidRPr="00000000">
        <w:rPr>
          <w:rtl w:val="0"/>
        </w:rPr>
        <w:t xml:space="preserve">:</w:t>
        <w:br w:type="textWrapping"/>
        <w:t xml:space="preserve">En la pantalla de eventos narrativos, el cuerpo de texto aparece en </w:t>
      </w:r>
      <w:r w:rsidDel="00000000" w:rsidR="00000000" w:rsidRPr="00000000">
        <w:rPr>
          <w:b w:val="1"/>
          <w:rtl w:val="0"/>
        </w:rPr>
        <w:t xml:space="preserve">Inria Sans</w:t>
      </w:r>
      <w:r w:rsidDel="00000000" w:rsidR="00000000" w:rsidRPr="00000000">
        <w:rPr>
          <w:rtl w:val="0"/>
        </w:rPr>
        <w:t xml:space="preserve">, con un tamaño adaptado a 32px para garantizar una lectura cómoda y fluida de los eventos que surgen de las decisiones del rector. Esto es esencial para mantener la inmersión del jugador sin fatigar su vista.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Texto de Tablas</w:t>
      </w:r>
      <w:r w:rsidDel="00000000" w:rsidR="00000000" w:rsidRPr="00000000">
        <w:rPr>
          <w:rtl w:val="0"/>
        </w:rPr>
        <w:t xml:space="preserve">:</w:t>
        <w:br w:type="textWrapping"/>
        <w:t xml:space="preserve">Las tablas de puntaje, utilizan </w:t>
      </w:r>
      <w:r w:rsidDel="00000000" w:rsidR="00000000" w:rsidRPr="00000000">
        <w:rPr>
          <w:b w:val="1"/>
          <w:rtl w:val="0"/>
        </w:rPr>
        <w:t xml:space="preserve">Inter</w:t>
      </w:r>
      <w:r w:rsidDel="00000000" w:rsidR="00000000" w:rsidRPr="00000000">
        <w:rPr>
          <w:rtl w:val="0"/>
        </w:rPr>
        <w:t xml:space="preserve"> en un tamaño adecuado, no mayor a 14px, para no sobrecargar la atención del usuario.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spacing w:after="240" w:before="240" w:lineRule="auto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2.6. Iconografía 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 respecto a la iconografía contamos con los siguientes elementos de navegación: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220581</wp:posOffset>
            </wp:positionV>
            <wp:extent cx="1085850" cy="990600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99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Icono de ajustes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14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203788</wp:posOffset>
            </wp:positionV>
            <wp:extent cx="1085850" cy="1343025"/>
            <wp:effectExtent b="0" l="0" r="0" t="0"/>
            <wp:wrapSquare wrapText="bothSides" distB="114300" distT="114300" distL="114300" distR="1143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43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Icono de Personita: Muestra la cantidad de aprobación 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            alumnado actual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114300</wp:posOffset>
            </wp:positionV>
            <wp:extent cx="1085850" cy="1295400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Icono de moneda: Muestra el presupuesto actual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116536</wp:posOffset>
            </wp:positionV>
            <wp:extent cx="1085850" cy="1295400"/>
            <wp:effectExtent b="0" l="0" r="0" t="0"/>
            <wp:wrapSquare wrapText="bothSides" distB="114300" distT="114300" distL="114300" distR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Tarjeta de SM: Muestra que hay un personaje de evento 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  <w:t xml:space="preserve">            descubierto</w:t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2.7. Guía de estilos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guía de estilos es fundamental para mantener la coherencia y la calidad del diseño en toda la interfaz. A continuación se presentan las directrices detalladas sobre los estilos de diseño utilizados, junto con ejemplos visuales y reglas para garantizar la consistencia: </w:t>
      </w:r>
    </w:p>
    <w:p w:rsidR="00000000" w:rsidDel="00000000" w:rsidP="00000000" w:rsidRDefault="00000000" w:rsidRPr="00000000" w14:paraId="000000D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lineRule="auto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Colores: 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Paleta de colores: Rojo #C26464 y Gris #D9D9D9.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0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Uso de colores pálidos para evitar la saturación excesiva de colores y mantener un equilibrio visual en la interfaz.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0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>
          <w:color w:val="0d0d0d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</w:rPr>
        <w:drawing>
          <wp:inline distB="114300" distT="114300" distL="114300" distR="114300">
            <wp:extent cx="266700" cy="4572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lineRule="auto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Tipografía: </w:t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>
          <w:color w:val="0d0d0d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Fuentes utilizadas: </w:t>
      </w:r>
      <w:r w:rsidDel="00000000" w:rsidR="00000000" w:rsidRPr="00000000">
        <w:rPr>
          <w:b w:val="1"/>
          <w:rtl w:val="0"/>
        </w:rPr>
        <w:t xml:space="preserve">Inknut Antiqua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 para títulos y </w:t>
      </w:r>
      <w:r w:rsidDel="00000000" w:rsidR="00000000" w:rsidRPr="00000000">
        <w:rPr>
          <w:b w:val="1"/>
          <w:rtl w:val="0"/>
        </w:rPr>
        <w:t xml:space="preserve">Inria Sans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 para cuerpo de texto.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8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>
          <w:color w:val="0d0d0d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Tamaño y estilo de fuente: </w:t>
      </w:r>
      <w:r w:rsidDel="00000000" w:rsidR="00000000" w:rsidRPr="00000000">
        <w:rPr>
          <w:b w:val="1"/>
          <w:rtl w:val="0"/>
        </w:rPr>
        <w:t xml:space="preserve">Inknut Antiqua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 (64px) para títulos, </w:t>
      </w:r>
      <w:r w:rsidDel="00000000" w:rsidR="00000000" w:rsidRPr="00000000">
        <w:rPr>
          <w:b w:val="1"/>
          <w:rtl w:val="0"/>
        </w:rPr>
        <w:t xml:space="preserve">Inria Sans</w:t>
      </w: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 Regular (16px a 32 px) para cuerpo de texto.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>
          <w:color w:val="0d0d0d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Espaciado adecuado entre líneas y caracteres para mejorar la legibilidad.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0" w:firstLine="0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before="300" w:lineRule="auto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Espaciado: </w:t>
      </w:r>
    </w:p>
    <w:p w:rsidR="00000000" w:rsidDel="00000000" w:rsidP="00000000" w:rsidRDefault="00000000" w:rsidRPr="00000000" w14:paraId="000000E6">
      <w:pPr>
        <w:numPr>
          <w:ilvl w:val="0"/>
          <w:numId w:val="16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Margen y relleno coherentes en todos los elementos de la interfaz para garantizar una distribución equilibrada del contenido.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Utilización de márgenes y espaciado uniforme para evitar la sensación de congestión en la interfaz.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before="300" w:lineRule="auto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before="300" w:lineRule="auto"/>
        <w:rPr>
          <w:rFonts w:ascii="Times New Roman" w:cs="Times New Roman" w:eastAsia="Times New Roman" w:hAnsi="Times New Roman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Iconografía: </w:t>
      </w:r>
    </w:p>
    <w:p w:rsidR="00000000" w:rsidDel="00000000" w:rsidP="00000000" w:rsidRDefault="00000000" w:rsidRPr="00000000" w14:paraId="000000EA">
      <w:pPr>
        <w:numPr>
          <w:ilvl w:val="0"/>
          <w:numId w:val="1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Uso de iconos simples y reconocibles que refuercen la comprensión del contenido.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0d0d0d"/>
          <w:sz w:val="24"/>
          <w:szCs w:val="24"/>
          <w:rtl w:val="0"/>
        </w:rPr>
        <w:t xml:space="preserve">Mantener un estilo de diseño coherente para los iconos, utilizando líneas limpias y formas simples.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3. Conclusión y próximos pasos </w:t>
      </w:r>
    </w:p>
    <w:p w:rsidR="00000000" w:rsidDel="00000000" w:rsidP="00000000" w:rsidRDefault="00000000" w:rsidRPr="00000000" w14:paraId="000000E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nxbz9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Conclusiones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Documento de Interfaz Gráfica de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 establece una base sólida para el diseño y desarrollo de una experiencia de usuario atractiva e inmersiva. Al definir principios de diseño, directrices de aplicación y una combinación adecuada de tipografía y colores, se han establecido los cimientos para una navegación intuitiva y agradable dentro del simulador. Esta planificación no solo mejora la experiencia de juego, sino que también garantiza que los elementos visuales y funcionales mantengan coherencia y claridad.</w:t>
      </w:r>
    </w:p>
    <w:p w:rsidR="00000000" w:rsidDel="00000000" w:rsidP="00000000" w:rsidRDefault="00000000" w:rsidRPr="00000000" w14:paraId="000000E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5nkun2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Próximos pasos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Iteración y Mejora Continua</w:t>
      </w:r>
      <w:r w:rsidDel="00000000" w:rsidR="00000000" w:rsidRPr="00000000">
        <w:rPr>
          <w:rtl w:val="0"/>
        </w:rPr>
        <w:t xml:space="preserve">:</w:t>
        <w:br w:type="textWrapping"/>
        <w:t xml:space="preserve">Durante el desarrollo continuo de </w:t>
      </w:r>
      <w:r w:rsidDel="00000000" w:rsidR="00000000" w:rsidRPr="00000000">
        <w:rPr>
          <w:b w:val="1"/>
          <w:rtl w:val="0"/>
        </w:rPr>
        <w:t xml:space="preserve">Rector Simulator</w:t>
      </w:r>
      <w:r w:rsidDel="00000000" w:rsidR="00000000" w:rsidRPr="00000000">
        <w:rPr>
          <w:rtl w:val="0"/>
        </w:rPr>
        <w:t xml:space="preserve">, será crucial revisar periódicamente el diseño de la interfaz para identificar áreas que puedan beneficiarse de mejoras. Las pruebas de usabilidad y la retroalimentación de los jugadores serán esenciales para refinar y optimizar la experiencia del usuario.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Colaboración Interdisciplinaria</w:t>
      </w:r>
      <w:r w:rsidDel="00000000" w:rsidR="00000000" w:rsidRPr="00000000">
        <w:rPr>
          <w:rtl w:val="0"/>
        </w:rPr>
        <w:t xml:space="preserve">:</w:t>
        <w:br w:type="textWrapping"/>
        <w:t xml:space="preserve">Promover la colaboración entre diseñadores gráficos, desarrolladores, narradores y expertos en experiencia de usuario permitirá una perspectiva integral sobre el diseño y la evolución del simulador. Este enfoque garantizará que la interfaz gráfica y la jugabilidad se alineen con los objetivos de inmersión y funcionalidad.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Actualización de la Guía de Estilos</w:t>
      </w:r>
      <w:r w:rsidDel="00000000" w:rsidR="00000000" w:rsidRPr="00000000">
        <w:rPr>
          <w:rtl w:val="0"/>
        </w:rPr>
        <w:t xml:space="preserve">:</w:t>
        <w:br w:type="textWrapping"/>
        <w:t xml:space="preserve">Conforme el diseño y las funcionalidades del simulador evolucionen, será necesario actualizar periódicamente la guía de estilos. Esta actualización ayudará a mantener la coherencia visual y funcional a medida que se añadan nuevas características o se ajusten elementos existentes.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Integración de Retroalimentación de Usuarios</w:t>
      </w:r>
      <w:r w:rsidDel="00000000" w:rsidR="00000000" w:rsidRPr="00000000">
        <w:rPr>
          <w:rtl w:val="0"/>
        </w:rPr>
        <w:t xml:space="preserve">:</w:t>
        <w:br w:type="textWrapping"/>
        <w:t xml:space="preserve">Implementar sistemas que recopilen y analicen la retroalimentación de los usuarios con respecto a la interfaz de usuario permitirá identificar oportunidades de mejora. Esto será clave para ajustar el diseño en futuras versiones y asegurar que el simulador siga ofreciendo una experiencia relevante y atractiva para los jugadores.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4.png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4.png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1.png"/><Relationship Id="rId8" Type="http://schemas.openxmlformats.org/officeDocument/2006/relationships/image" Target="media/image16.png"/><Relationship Id="rId11" Type="http://schemas.openxmlformats.org/officeDocument/2006/relationships/image" Target="media/image6.png"/><Relationship Id="rId10" Type="http://schemas.openxmlformats.org/officeDocument/2006/relationships/image" Target="media/image19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